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C28974">
      <w:pPr>
        <w:pStyle w:val="4"/>
        <w:widowControl/>
        <w:spacing w:before="60" w:beforeAutospacing="0" w:after="60" w:afterAutospacing="0" w:line="312" w:lineRule="auto"/>
        <w:jc w:val="center"/>
        <w:rPr>
          <w:rFonts w:hint="eastAsia" w:ascii="宋体" w:hAnsi="宋体" w:eastAsia="宋体" w:cs="宋体"/>
          <w:b/>
          <w:color w:val="333333"/>
          <w:sz w:val="36"/>
          <w:szCs w:val="36"/>
        </w:rPr>
      </w:pPr>
      <w:bookmarkStart w:id="0" w:name="_GoBack"/>
      <w:bookmarkEnd w:id="0"/>
      <w:r>
        <w:rPr>
          <w:rFonts w:hint="eastAsia" w:ascii="宋体" w:hAnsi="宋体" w:eastAsia="宋体" w:cs="宋体"/>
          <w:b/>
          <w:color w:val="333333"/>
          <w:sz w:val="32"/>
          <w:szCs w:val="32"/>
        </w:rPr>
        <w:t>附件3</w:t>
      </w:r>
      <w:r>
        <w:rPr>
          <w:rFonts w:ascii="宋体" w:hAnsi="宋体" w:eastAsia="宋体" w:cs="宋体"/>
          <w:b/>
          <w:color w:val="333333"/>
          <w:sz w:val="32"/>
          <w:szCs w:val="32"/>
        </w:rPr>
        <w:t xml:space="preserve">. </w:t>
      </w:r>
      <w:r>
        <w:rPr>
          <w:rFonts w:hint="eastAsia" w:ascii="宋体" w:hAnsi="宋体" w:eastAsia="宋体" w:cs="宋体"/>
          <w:b/>
          <w:color w:val="333333"/>
          <w:sz w:val="36"/>
          <w:szCs w:val="36"/>
        </w:rPr>
        <w:t>国家级人才培养模式创新实验区解读</w:t>
      </w:r>
    </w:p>
    <w:p w14:paraId="061FD60D">
      <w:pPr>
        <w:rPr>
          <w:rFonts w:hint="eastAsia" w:ascii="宋体" w:hAnsi="宋体" w:eastAsia="宋体" w:cs="宋体"/>
          <w:b/>
          <w:color w:val="333333"/>
          <w:kern w:val="0"/>
          <w:sz w:val="32"/>
          <w:szCs w:val="32"/>
        </w:rPr>
      </w:pPr>
    </w:p>
    <w:p w14:paraId="0E6358F6">
      <w:pPr>
        <w:spacing w:line="312" w:lineRule="auto"/>
        <w:jc w:val="center"/>
        <w:rPr>
          <w:rFonts w:hint="eastAsia" w:ascii="宋体" w:hAnsi="宋体" w:eastAsia="宋体" w:cs="宋体"/>
          <w:b/>
          <w:color w:val="333333"/>
          <w:kern w:val="0"/>
          <w:sz w:val="32"/>
          <w:szCs w:val="32"/>
        </w:rPr>
      </w:pPr>
      <w:r>
        <w:rPr>
          <w:rFonts w:hint="eastAsia" w:ascii="宋体" w:hAnsi="宋体" w:eastAsia="宋体" w:cs="宋体"/>
          <w:b/>
          <w:color w:val="333333"/>
          <w:kern w:val="0"/>
          <w:sz w:val="32"/>
          <w:szCs w:val="32"/>
        </w:rPr>
        <w:t>具有企业家精神和潜质的经济管理人才培养模式创新实验区</w:t>
      </w:r>
    </w:p>
    <w:p w14:paraId="14589D9A">
      <w:pPr>
        <w:pStyle w:val="4"/>
        <w:widowControl/>
        <w:spacing w:before="60" w:beforeAutospacing="0" w:after="60" w:afterAutospacing="0" w:line="312" w:lineRule="auto"/>
        <w:ind w:firstLine="480" w:firstLineChars="200"/>
        <w:jc w:val="both"/>
        <w:rPr>
          <w:rFonts w:hint="eastAsia" w:asciiTheme="minorEastAsia" w:hAnsiTheme="minorEastAsia"/>
          <w:sz w:val="32"/>
          <w:szCs w:val="32"/>
        </w:rPr>
      </w:pPr>
      <w:r>
        <w:rPr>
          <w:rFonts w:hint="eastAsia" w:cs="宋体" w:asciiTheme="minorEastAsia" w:hAnsiTheme="minorEastAsia"/>
          <w:color w:val="333333"/>
          <w:szCs w:val="24"/>
        </w:rPr>
        <w:t>为培养适应经济社会发展需要的基础扎实，实践与创新能力强，具有国际化视野和企业家潜质，并能反映区域经济和文化特点的“有创意、能创造、善创业”的复合应用型人才，根据《广东商学院人才培养模式创新实验区建设方案》（粤商院</w:t>
      </w:r>
      <w:r>
        <w:rPr>
          <w:rFonts w:cs="Calibri" w:asciiTheme="minorEastAsia" w:hAnsiTheme="minorEastAsia"/>
          <w:color w:val="333333"/>
          <w:szCs w:val="24"/>
        </w:rPr>
        <w:t>[2008]107</w:t>
      </w:r>
      <w:r>
        <w:rPr>
          <w:rFonts w:hint="eastAsia" w:cs="宋体" w:asciiTheme="minorEastAsia" w:hAnsiTheme="minorEastAsia"/>
          <w:color w:val="333333"/>
          <w:szCs w:val="24"/>
        </w:rPr>
        <w:t>号）文件精神，学校于</w:t>
      </w:r>
      <w:r>
        <w:rPr>
          <w:rFonts w:cs="Calibri" w:asciiTheme="minorEastAsia" w:hAnsiTheme="minorEastAsia"/>
          <w:color w:val="333333"/>
          <w:szCs w:val="24"/>
        </w:rPr>
        <w:t>2008</w:t>
      </w:r>
      <w:r>
        <w:rPr>
          <w:rFonts w:hint="eastAsia" w:cs="宋体" w:asciiTheme="minorEastAsia" w:hAnsiTheme="minorEastAsia"/>
          <w:color w:val="333333"/>
          <w:szCs w:val="24"/>
        </w:rPr>
        <w:t>年</w:t>
      </w:r>
      <w:r>
        <w:rPr>
          <w:rFonts w:cs="Calibri" w:asciiTheme="minorEastAsia" w:hAnsiTheme="minorEastAsia"/>
          <w:color w:val="333333"/>
          <w:szCs w:val="24"/>
        </w:rPr>
        <w:t>11</w:t>
      </w:r>
      <w:r>
        <w:rPr>
          <w:rFonts w:hint="eastAsia" w:cs="宋体" w:asciiTheme="minorEastAsia" w:hAnsiTheme="minorEastAsia"/>
          <w:color w:val="333333"/>
          <w:szCs w:val="24"/>
        </w:rPr>
        <w:t>月成立了“具有企业家精神和潜质的经济管理人才培养模式创新实验区”，并于</w:t>
      </w:r>
      <w:r>
        <w:rPr>
          <w:rFonts w:cs="Calibri" w:asciiTheme="minorEastAsia" w:hAnsiTheme="minorEastAsia"/>
          <w:color w:val="333333"/>
          <w:szCs w:val="24"/>
        </w:rPr>
        <w:t>2008</w:t>
      </w:r>
      <w:r>
        <w:rPr>
          <w:rFonts w:hint="eastAsia" w:cs="宋体" w:asciiTheme="minorEastAsia" w:hAnsiTheme="minorEastAsia"/>
          <w:color w:val="333333"/>
          <w:szCs w:val="24"/>
        </w:rPr>
        <w:t>年底在</w:t>
      </w:r>
      <w:r>
        <w:rPr>
          <w:rFonts w:cs="Calibri" w:asciiTheme="minorEastAsia" w:hAnsiTheme="minorEastAsia"/>
          <w:color w:val="333333"/>
          <w:szCs w:val="24"/>
        </w:rPr>
        <w:t>2008</w:t>
      </w:r>
      <w:r>
        <w:rPr>
          <w:rFonts w:hint="eastAsia" w:cs="宋体" w:asciiTheme="minorEastAsia" w:hAnsiTheme="minorEastAsia"/>
          <w:color w:val="333333"/>
          <w:szCs w:val="24"/>
        </w:rPr>
        <w:t>级学生中遴选了首批</w:t>
      </w:r>
      <w:r>
        <w:rPr>
          <w:rFonts w:cs="Calibri" w:asciiTheme="minorEastAsia" w:hAnsiTheme="minorEastAsia"/>
          <w:color w:val="333333"/>
          <w:szCs w:val="24"/>
        </w:rPr>
        <w:t>98</w:t>
      </w:r>
      <w:r>
        <w:rPr>
          <w:rFonts w:hint="eastAsia" w:cs="宋体" w:asciiTheme="minorEastAsia" w:hAnsiTheme="minorEastAsia"/>
          <w:color w:val="333333"/>
          <w:szCs w:val="24"/>
        </w:rPr>
        <w:t>名学生进入实验区，实验区于</w:t>
      </w:r>
      <w:r>
        <w:rPr>
          <w:rFonts w:cs="Calibri" w:asciiTheme="minorEastAsia" w:hAnsiTheme="minorEastAsia"/>
          <w:color w:val="333333"/>
          <w:szCs w:val="24"/>
        </w:rPr>
        <w:t>2009</w:t>
      </w:r>
      <w:r>
        <w:rPr>
          <w:rFonts w:hint="eastAsia" w:cs="宋体" w:asciiTheme="minorEastAsia" w:hAnsiTheme="minorEastAsia"/>
          <w:color w:val="333333"/>
          <w:szCs w:val="24"/>
        </w:rPr>
        <w:t>年获得了国家级人才培养模式创新实验区建设项目立项。现</w:t>
      </w:r>
      <w:r>
        <w:rPr>
          <w:rFonts w:hint="eastAsia" w:cs="宋体" w:asciiTheme="minorEastAsia" w:hAnsiTheme="minorEastAsia"/>
          <w:color w:val="333333"/>
        </w:rPr>
        <w:t>多</w:t>
      </w:r>
      <w:r>
        <w:rPr>
          <w:rFonts w:hint="eastAsia" w:cs="宋体" w:asciiTheme="minorEastAsia" w:hAnsiTheme="minorEastAsia"/>
          <w:color w:val="333333"/>
          <w:szCs w:val="24"/>
        </w:rPr>
        <w:t>批毕业生已经走入社会，学习深造和就业情况优异；实验区又相继招收了</w:t>
      </w:r>
      <w:r>
        <w:rPr>
          <w:rFonts w:cs="Calibri" w:asciiTheme="minorEastAsia" w:hAnsiTheme="minorEastAsia"/>
          <w:color w:val="333333"/>
          <w:szCs w:val="24"/>
        </w:rPr>
        <w:t>2010</w:t>
      </w:r>
      <w:r>
        <w:rPr>
          <w:rFonts w:hint="eastAsia" w:cs="宋体" w:asciiTheme="minorEastAsia" w:hAnsiTheme="minorEastAsia"/>
          <w:color w:val="333333"/>
          <w:szCs w:val="24"/>
        </w:rPr>
        <w:t>级到</w:t>
      </w:r>
      <w:r>
        <w:rPr>
          <w:rFonts w:cs="Calibri" w:asciiTheme="minorEastAsia" w:hAnsiTheme="minorEastAsia"/>
          <w:color w:val="333333"/>
        </w:rPr>
        <w:t>202</w:t>
      </w:r>
      <w:r>
        <w:rPr>
          <w:rFonts w:hint="eastAsia" w:cs="Calibri" w:asciiTheme="minorEastAsia" w:hAnsiTheme="minorEastAsia"/>
          <w:color w:val="333333"/>
        </w:rPr>
        <w:t>5</w:t>
      </w:r>
      <w:r>
        <w:rPr>
          <w:rFonts w:hint="eastAsia" w:cs="宋体" w:asciiTheme="minorEastAsia" w:hAnsiTheme="minorEastAsia"/>
          <w:color w:val="333333"/>
          <w:szCs w:val="24"/>
        </w:rPr>
        <w:t>级学生共</w:t>
      </w:r>
      <w:r>
        <w:rPr>
          <w:rFonts w:hint="eastAsia" w:cs="Calibri" w:asciiTheme="minorEastAsia" w:hAnsiTheme="minorEastAsia"/>
          <w:color w:val="333333"/>
        </w:rPr>
        <w:t>801</w:t>
      </w:r>
      <w:r>
        <w:rPr>
          <w:rFonts w:hint="eastAsia" w:cs="宋体" w:asciiTheme="minorEastAsia" w:hAnsiTheme="minorEastAsia"/>
          <w:color w:val="333333"/>
          <w:szCs w:val="24"/>
        </w:rPr>
        <w:t>名。</w:t>
      </w:r>
    </w:p>
    <w:p w14:paraId="26A2D452">
      <w:pPr>
        <w:pStyle w:val="4"/>
        <w:widowControl/>
        <w:spacing w:before="60" w:beforeAutospacing="0" w:after="60" w:afterAutospacing="0" w:line="312" w:lineRule="auto"/>
        <w:jc w:val="both"/>
        <w:rPr>
          <w:rFonts w:hint="eastAsia" w:ascii="黑体" w:hAnsi="黑体" w:eastAsia="黑体"/>
          <w:sz w:val="36"/>
          <w:szCs w:val="36"/>
        </w:rPr>
      </w:pPr>
      <w:r>
        <w:rPr>
          <w:rFonts w:hint="eastAsia" w:ascii="黑体" w:hAnsi="黑体" w:eastAsia="黑体" w:cs="宋体"/>
          <w:b/>
          <w:color w:val="333333"/>
          <w:sz w:val="28"/>
          <w:szCs w:val="28"/>
        </w:rPr>
        <w:t>实验区定位</w:t>
      </w:r>
    </w:p>
    <w:p w14:paraId="4FB80A2E">
      <w:pPr>
        <w:pStyle w:val="4"/>
        <w:widowControl/>
        <w:spacing w:before="60" w:beforeAutospacing="0" w:after="60" w:afterAutospacing="0" w:line="312" w:lineRule="auto"/>
        <w:ind w:firstLine="420"/>
        <w:jc w:val="both"/>
        <w:rPr>
          <w:rFonts w:hint="eastAsia" w:asciiTheme="minorEastAsia" w:hAnsiTheme="minorEastAsia"/>
          <w:sz w:val="32"/>
          <w:szCs w:val="32"/>
        </w:rPr>
      </w:pPr>
      <w:r>
        <w:rPr>
          <w:rFonts w:hint="eastAsia" w:cs="宋体" w:asciiTheme="minorEastAsia" w:hAnsiTheme="minorEastAsia"/>
          <w:color w:val="333333"/>
          <w:szCs w:val="24"/>
        </w:rPr>
        <w:t>实验区是</w:t>
      </w:r>
      <w:r>
        <w:rPr>
          <w:rFonts w:hint="eastAsia" w:cs="宋体" w:asciiTheme="minorEastAsia" w:hAnsiTheme="minorEastAsia"/>
          <w:b/>
          <w:bCs/>
          <w:color w:val="333333"/>
          <w:szCs w:val="24"/>
        </w:rPr>
        <w:t>国家级</w:t>
      </w:r>
      <w:r>
        <w:rPr>
          <w:rFonts w:hint="eastAsia" w:cs="宋体" w:asciiTheme="minorEastAsia" w:hAnsiTheme="minorEastAsia"/>
          <w:color w:val="333333"/>
          <w:szCs w:val="24"/>
        </w:rPr>
        <w:t>的人才培养模式创新实验区，专业为创业管理专业，所属学院为</w:t>
      </w:r>
      <w:r>
        <w:rPr>
          <w:rFonts w:hint="eastAsia" w:cs="宋体" w:asciiTheme="minorEastAsia" w:hAnsiTheme="minorEastAsia"/>
          <w:color w:val="333333"/>
        </w:rPr>
        <w:t>工商管理学院（粤商学院、创新创业学院）</w:t>
      </w:r>
      <w:r>
        <w:rPr>
          <w:rFonts w:hint="eastAsia" w:cs="宋体" w:asciiTheme="minorEastAsia" w:hAnsiTheme="minorEastAsia"/>
          <w:color w:val="333333"/>
          <w:szCs w:val="24"/>
        </w:rPr>
        <w:t>。</w:t>
      </w:r>
    </w:p>
    <w:p w14:paraId="626B6FFC">
      <w:pPr>
        <w:pStyle w:val="4"/>
        <w:widowControl/>
        <w:spacing w:before="60" w:beforeAutospacing="0" w:after="60" w:afterAutospacing="0" w:line="312" w:lineRule="auto"/>
        <w:jc w:val="both"/>
        <w:rPr>
          <w:rFonts w:hint="eastAsia" w:ascii="黑体" w:hAnsi="黑体" w:eastAsia="黑体" w:cs="宋体"/>
          <w:b/>
          <w:color w:val="333333"/>
          <w:sz w:val="28"/>
          <w:szCs w:val="28"/>
        </w:rPr>
      </w:pPr>
      <w:r>
        <w:rPr>
          <w:rFonts w:hint="eastAsia" w:ascii="黑体" w:hAnsi="黑体" w:eastAsia="黑体" w:cs="宋体"/>
          <w:b/>
          <w:color w:val="333333"/>
          <w:sz w:val="28"/>
          <w:szCs w:val="28"/>
        </w:rPr>
        <w:t>人才培养目标定位</w:t>
      </w:r>
    </w:p>
    <w:p w14:paraId="4EB3F841">
      <w:pPr>
        <w:pStyle w:val="4"/>
        <w:widowControl/>
        <w:spacing w:before="60" w:beforeAutospacing="0" w:after="60" w:afterAutospacing="0" w:line="312" w:lineRule="auto"/>
        <w:ind w:firstLine="420"/>
        <w:jc w:val="both"/>
        <w:rPr>
          <w:rFonts w:hint="eastAsia" w:cs="宋体" w:asciiTheme="minorEastAsia" w:hAnsiTheme="minorEastAsia"/>
          <w:color w:val="333333"/>
          <w:szCs w:val="24"/>
        </w:rPr>
      </w:pPr>
      <w:r>
        <w:rPr>
          <w:rFonts w:hint="eastAsia" w:cs="宋体" w:asciiTheme="minorEastAsia" w:hAnsiTheme="minorEastAsia"/>
          <w:color w:val="333333"/>
          <w:szCs w:val="24"/>
        </w:rPr>
        <w:t>实验区选取</w:t>
      </w:r>
      <w:r>
        <w:rPr>
          <w:rFonts w:hint="eastAsia" w:cs="宋体" w:asciiTheme="minorEastAsia" w:hAnsiTheme="minorEastAsia"/>
          <w:b/>
          <w:bCs/>
          <w:color w:val="333333"/>
          <w:szCs w:val="24"/>
        </w:rPr>
        <w:t>创业管理专业</w:t>
      </w:r>
      <w:r>
        <w:rPr>
          <w:rFonts w:hint="eastAsia" w:cs="宋体" w:asciiTheme="minorEastAsia" w:hAnsiTheme="minorEastAsia"/>
          <w:color w:val="333333"/>
          <w:szCs w:val="24"/>
        </w:rPr>
        <w:t>为人才培养的专业方向。该专业于2025年、2026年连续2年软科专业评级为A+，</w:t>
      </w:r>
      <w:r>
        <w:rPr>
          <w:rFonts w:hint="eastAsia" w:cs="宋体" w:asciiTheme="minorEastAsia" w:hAnsiTheme="minorEastAsia"/>
          <w:b/>
          <w:bCs/>
          <w:color w:val="333333"/>
          <w:szCs w:val="24"/>
        </w:rPr>
        <w:t>全国排名第二</w:t>
      </w:r>
      <w:r>
        <w:rPr>
          <w:rFonts w:hint="eastAsia" w:cs="宋体" w:asciiTheme="minorEastAsia" w:hAnsiTheme="minorEastAsia"/>
          <w:color w:val="333333"/>
          <w:szCs w:val="24"/>
        </w:rPr>
        <w:t>。实验区培养适应经济社会发展需要的基础扎实，实践与创新能力强，具有国际化视野和企业家潜质，并能反映区域经济和文化特点的</w:t>
      </w:r>
      <w:r>
        <w:rPr>
          <w:rFonts w:hint="eastAsia" w:cs="宋体" w:asciiTheme="minorEastAsia" w:hAnsiTheme="minorEastAsia"/>
          <w:b/>
          <w:bCs/>
          <w:color w:val="333333"/>
          <w:szCs w:val="24"/>
        </w:rPr>
        <w:t>“有创意、能创造、善创业”的复合应用型人才</w:t>
      </w:r>
      <w:r>
        <w:rPr>
          <w:rFonts w:hint="eastAsia" w:cs="宋体" w:asciiTheme="minorEastAsia" w:hAnsiTheme="minorEastAsia"/>
          <w:color w:val="333333"/>
          <w:szCs w:val="24"/>
        </w:rPr>
        <w:t>。</w:t>
      </w:r>
    </w:p>
    <w:p w14:paraId="6947AA0E">
      <w:pPr>
        <w:pStyle w:val="4"/>
        <w:widowControl/>
        <w:spacing w:before="60" w:beforeAutospacing="0" w:after="60" w:afterAutospacing="0" w:line="312" w:lineRule="auto"/>
        <w:ind w:firstLine="420"/>
        <w:jc w:val="both"/>
        <w:rPr>
          <w:rFonts w:hint="eastAsia" w:asciiTheme="minorEastAsia" w:hAnsiTheme="minorEastAsia"/>
          <w:sz w:val="32"/>
          <w:szCs w:val="32"/>
        </w:rPr>
      </w:pPr>
      <w:r>
        <w:rPr>
          <w:rFonts w:hint="eastAsia" w:cs="宋体" w:asciiTheme="minorEastAsia" w:hAnsiTheme="minorEastAsia"/>
          <w:color w:val="333333"/>
          <w:szCs w:val="24"/>
        </w:rPr>
        <w:t>不论你的原专业如何，只要有梦想、有创意和勤奋执着，就会得到实验区的青睐，就有机会通过实验区的学习和训练，在未来的企业经营、商务活动、社会事务等领域更易实现自己的梦想。</w:t>
      </w:r>
    </w:p>
    <w:p w14:paraId="7D53D01F">
      <w:pPr>
        <w:pStyle w:val="4"/>
        <w:widowControl/>
        <w:spacing w:before="60" w:beforeAutospacing="0" w:after="60" w:afterAutospacing="0" w:line="312" w:lineRule="auto"/>
        <w:ind w:firstLine="420"/>
        <w:jc w:val="both"/>
        <w:rPr>
          <w:rFonts w:hint="eastAsia" w:asciiTheme="minorEastAsia" w:hAnsiTheme="minorEastAsia"/>
          <w:sz w:val="32"/>
          <w:szCs w:val="32"/>
        </w:rPr>
      </w:pPr>
      <w:r>
        <w:rPr>
          <w:rFonts w:hint="eastAsia" w:cs="宋体" w:asciiTheme="minorEastAsia" w:hAnsiTheme="minorEastAsia"/>
          <w:color w:val="333333"/>
          <w:szCs w:val="24"/>
        </w:rPr>
        <w:t>所学专业为</w:t>
      </w:r>
      <w:r>
        <w:rPr>
          <w:rFonts w:hint="eastAsia" w:cs="宋体" w:asciiTheme="minorEastAsia" w:hAnsiTheme="minorEastAsia"/>
          <w:b/>
          <w:bCs/>
          <w:color w:val="333333"/>
          <w:szCs w:val="24"/>
        </w:rPr>
        <w:t>创业管理专业</w:t>
      </w:r>
      <w:r>
        <w:rPr>
          <w:rFonts w:hint="eastAsia" w:cs="宋体" w:asciiTheme="minorEastAsia" w:hAnsiTheme="minorEastAsia"/>
          <w:color w:val="333333"/>
          <w:szCs w:val="24"/>
        </w:rPr>
        <w:t>，毕业后授予</w:t>
      </w:r>
      <w:r>
        <w:rPr>
          <w:rFonts w:hint="eastAsia" w:cs="宋体" w:asciiTheme="minorEastAsia" w:hAnsiTheme="minorEastAsia"/>
          <w:b/>
          <w:bCs/>
          <w:color w:val="333333"/>
          <w:szCs w:val="24"/>
        </w:rPr>
        <w:t>管理学学士</w:t>
      </w:r>
      <w:r>
        <w:rPr>
          <w:rFonts w:hint="eastAsia" w:cs="宋体" w:asciiTheme="minorEastAsia" w:hAnsiTheme="minorEastAsia"/>
          <w:color w:val="333333"/>
          <w:szCs w:val="24"/>
        </w:rPr>
        <w:t>学位。</w:t>
      </w:r>
    </w:p>
    <w:p w14:paraId="13642AD4">
      <w:pPr>
        <w:pStyle w:val="4"/>
        <w:widowControl/>
        <w:spacing w:before="60" w:beforeAutospacing="0" w:after="60" w:afterAutospacing="0" w:line="312" w:lineRule="auto"/>
        <w:jc w:val="both"/>
        <w:rPr>
          <w:rFonts w:hint="eastAsia" w:ascii="黑体" w:hAnsi="黑体" w:eastAsia="黑体" w:cs="宋体"/>
          <w:b/>
          <w:color w:val="333333"/>
          <w:sz w:val="28"/>
          <w:szCs w:val="28"/>
        </w:rPr>
      </w:pPr>
      <w:r>
        <w:rPr>
          <w:rFonts w:hint="eastAsia" w:ascii="黑体" w:hAnsi="黑体" w:eastAsia="黑体" w:cs="宋体"/>
          <w:b/>
          <w:color w:val="333333"/>
          <w:sz w:val="28"/>
          <w:szCs w:val="28"/>
        </w:rPr>
        <w:t>遴选范围及招生名额</w:t>
      </w:r>
    </w:p>
    <w:p w14:paraId="04CBBA58">
      <w:pPr>
        <w:pStyle w:val="4"/>
        <w:widowControl/>
        <w:spacing w:before="60" w:beforeAutospacing="0" w:after="60" w:afterAutospacing="0" w:line="312" w:lineRule="auto"/>
        <w:ind w:firstLine="420"/>
        <w:jc w:val="both"/>
        <w:rPr>
          <w:rFonts w:hint="eastAsia" w:cs="宋体" w:asciiTheme="minorEastAsia" w:hAnsiTheme="minorEastAsia"/>
          <w:color w:val="333333"/>
          <w:szCs w:val="24"/>
        </w:rPr>
      </w:pPr>
      <w:r>
        <w:rPr>
          <w:rFonts w:hint="eastAsia" w:cs="宋体" w:asciiTheme="minorEastAsia" w:hAnsiTheme="minorEastAsia"/>
          <w:color w:val="333333"/>
          <w:szCs w:val="24"/>
        </w:rPr>
        <w:t>面向全校2026级全日制本科生（艺术类、体育类、中外合作项目除外）遴选出不超过70人。</w:t>
      </w:r>
    </w:p>
    <w:p w14:paraId="16B885B5">
      <w:pPr>
        <w:pStyle w:val="4"/>
        <w:widowControl/>
        <w:spacing w:before="60" w:beforeAutospacing="0" w:after="60" w:afterAutospacing="0" w:line="312" w:lineRule="auto"/>
        <w:ind w:firstLine="420"/>
        <w:jc w:val="both"/>
        <w:rPr>
          <w:rFonts w:hint="eastAsia" w:cs="宋体" w:asciiTheme="minorEastAsia" w:hAnsiTheme="minorEastAsia"/>
          <w:color w:val="333333"/>
          <w:szCs w:val="24"/>
        </w:rPr>
      </w:pPr>
    </w:p>
    <w:p w14:paraId="3FEE2C06">
      <w:pPr>
        <w:pStyle w:val="4"/>
        <w:widowControl/>
        <w:spacing w:before="60" w:beforeAutospacing="0" w:after="60" w:afterAutospacing="0" w:line="312" w:lineRule="auto"/>
        <w:ind w:firstLine="420"/>
        <w:jc w:val="both"/>
        <w:rPr>
          <w:rFonts w:hint="eastAsia" w:asciiTheme="minorEastAsia" w:hAnsiTheme="minorEastAsia"/>
          <w:sz w:val="32"/>
          <w:szCs w:val="32"/>
        </w:rPr>
      </w:pPr>
    </w:p>
    <w:p w14:paraId="2F1BAFA8">
      <w:pPr>
        <w:pStyle w:val="4"/>
        <w:widowControl/>
        <w:spacing w:before="60" w:beforeAutospacing="0" w:after="60" w:afterAutospacing="0" w:line="312" w:lineRule="auto"/>
        <w:jc w:val="both"/>
        <w:rPr>
          <w:rFonts w:hint="eastAsia" w:ascii="黑体" w:hAnsi="黑体" w:eastAsia="黑体" w:cs="宋体"/>
          <w:b/>
          <w:color w:val="333333"/>
          <w:sz w:val="28"/>
          <w:szCs w:val="28"/>
        </w:rPr>
      </w:pPr>
      <w:r>
        <w:rPr>
          <w:rFonts w:hint="eastAsia" w:ascii="黑体" w:hAnsi="黑体" w:eastAsia="黑体" w:cs="宋体"/>
          <w:b/>
          <w:color w:val="333333"/>
          <w:sz w:val="28"/>
          <w:szCs w:val="28"/>
        </w:rPr>
        <w:t>学习地点</w:t>
      </w:r>
    </w:p>
    <w:p w14:paraId="542E92D3">
      <w:pPr>
        <w:pStyle w:val="4"/>
        <w:widowControl/>
        <w:spacing w:before="60" w:beforeAutospacing="0" w:after="60" w:afterAutospacing="0" w:line="312" w:lineRule="auto"/>
        <w:ind w:firstLine="420"/>
        <w:jc w:val="both"/>
        <w:rPr>
          <w:rFonts w:hint="eastAsia" w:cs="宋体" w:asciiTheme="minorEastAsia" w:hAnsiTheme="minorEastAsia"/>
          <w:b/>
          <w:bCs/>
          <w:color w:val="333333"/>
          <w:szCs w:val="24"/>
        </w:rPr>
      </w:pPr>
      <w:r>
        <w:rPr>
          <w:rFonts w:hint="eastAsia" w:cs="宋体" w:asciiTheme="minorEastAsia" w:hAnsiTheme="minorEastAsia"/>
          <w:color w:val="333333"/>
          <w:szCs w:val="24"/>
        </w:rPr>
        <w:t>大一下学期按实验区培养方案教学。</w:t>
      </w:r>
      <w:r>
        <w:rPr>
          <w:rFonts w:hint="eastAsia" w:cs="宋体" w:asciiTheme="minorEastAsia" w:hAnsiTheme="minorEastAsia"/>
          <w:b/>
          <w:bCs/>
          <w:color w:val="333333"/>
          <w:szCs w:val="24"/>
        </w:rPr>
        <w:t>自大二开始，实验区学生学习地点在广州校区。</w:t>
      </w:r>
    </w:p>
    <w:p w14:paraId="19C39DD8">
      <w:pPr>
        <w:pStyle w:val="4"/>
        <w:widowControl/>
        <w:spacing w:before="60" w:beforeAutospacing="0" w:after="60" w:afterAutospacing="0" w:line="312" w:lineRule="auto"/>
        <w:jc w:val="both"/>
        <w:rPr>
          <w:rFonts w:hint="eastAsia" w:ascii="黑体" w:hAnsi="黑体" w:eastAsia="黑体" w:cs="宋体"/>
          <w:b/>
          <w:color w:val="333333"/>
          <w:sz w:val="28"/>
          <w:szCs w:val="28"/>
        </w:rPr>
      </w:pPr>
      <w:r>
        <w:rPr>
          <w:rFonts w:hint="eastAsia" w:ascii="黑体" w:hAnsi="黑体" w:eastAsia="黑体" w:cs="宋体"/>
          <w:b/>
          <w:color w:val="333333"/>
          <w:sz w:val="28"/>
          <w:szCs w:val="28"/>
        </w:rPr>
        <w:t>教学特色</w:t>
      </w:r>
    </w:p>
    <w:p w14:paraId="008B1E3F">
      <w:pPr>
        <w:pStyle w:val="4"/>
        <w:widowControl/>
        <w:numPr>
          <w:ilvl w:val="0"/>
          <w:numId w:val="1"/>
        </w:numPr>
        <w:tabs>
          <w:tab w:val="left" w:pos="709"/>
        </w:tabs>
        <w:spacing w:before="60" w:beforeAutospacing="0" w:after="60" w:afterAutospacing="0" w:line="312" w:lineRule="auto"/>
        <w:ind w:left="0" w:firstLine="420"/>
        <w:jc w:val="both"/>
        <w:rPr>
          <w:rFonts w:hint="eastAsia" w:asciiTheme="minorEastAsia" w:hAnsiTheme="minorEastAsia"/>
          <w:sz w:val="32"/>
          <w:szCs w:val="32"/>
        </w:rPr>
      </w:pPr>
      <w:r>
        <w:rPr>
          <w:rFonts w:hint="eastAsia" w:cs="宋体" w:asciiTheme="minorEastAsia" w:hAnsiTheme="minorEastAsia"/>
          <w:color w:val="333333"/>
          <w:szCs w:val="24"/>
        </w:rPr>
        <w:t>管理方式：独立成班，统一归实验区管理；实验区秉承开放式管理的理念，给予学生尽可能多的自主权和发展空间。</w:t>
      </w:r>
    </w:p>
    <w:p w14:paraId="741401E5">
      <w:pPr>
        <w:pStyle w:val="4"/>
        <w:widowControl/>
        <w:numPr>
          <w:ilvl w:val="0"/>
          <w:numId w:val="1"/>
        </w:numPr>
        <w:tabs>
          <w:tab w:val="left" w:pos="709"/>
        </w:tabs>
        <w:spacing w:before="60" w:beforeAutospacing="0" w:after="60" w:afterAutospacing="0" w:line="312" w:lineRule="auto"/>
        <w:ind w:left="0" w:firstLine="420"/>
        <w:jc w:val="both"/>
        <w:rPr>
          <w:rFonts w:hint="eastAsia" w:asciiTheme="minorEastAsia" w:hAnsiTheme="minorEastAsia"/>
          <w:sz w:val="32"/>
          <w:szCs w:val="32"/>
        </w:rPr>
      </w:pPr>
      <w:r>
        <w:rPr>
          <w:rFonts w:hint="eastAsia" w:cs="宋体" w:asciiTheme="minorEastAsia" w:hAnsiTheme="minorEastAsia"/>
          <w:color w:val="333333"/>
          <w:szCs w:val="24"/>
        </w:rPr>
        <w:t>区内教师：实验区教师在全校范围挑选，每一名教师都是通过严格标准遴选的，具备完备的理论知识、丰富的实践经验和奉献精神。</w:t>
      </w:r>
    </w:p>
    <w:p w14:paraId="3E999213">
      <w:pPr>
        <w:pStyle w:val="4"/>
        <w:widowControl/>
        <w:numPr>
          <w:ilvl w:val="0"/>
          <w:numId w:val="1"/>
        </w:numPr>
        <w:tabs>
          <w:tab w:val="left" w:pos="709"/>
        </w:tabs>
        <w:spacing w:before="60" w:beforeAutospacing="0" w:after="60" w:afterAutospacing="0" w:line="312" w:lineRule="auto"/>
        <w:ind w:left="0" w:firstLine="420"/>
        <w:jc w:val="both"/>
        <w:rPr>
          <w:rFonts w:hint="eastAsia" w:asciiTheme="minorEastAsia" w:hAnsiTheme="minorEastAsia"/>
          <w:sz w:val="32"/>
          <w:szCs w:val="32"/>
        </w:rPr>
      </w:pPr>
      <w:r>
        <w:rPr>
          <w:rFonts w:hint="eastAsia" w:cs="宋体" w:asciiTheme="minorEastAsia" w:hAnsiTheme="minorEastAsia"/>
          <w:color w:val="333333"/>
          <w:szCs w:val="24"/>
        </w:rPr>
        <w:t>兼职教师：实验区将定期聘请有丰富管理经验的企业中高级管理人员或管理学学科领域的带头人来校做专业授课。</w:t>
      </w:r>
    </w:p>
    <w:p w14:paraId="2485A6DD">
      <w:pPr>
        <w:pStyle w:val="4"/>
        <w:widowControl/>
        <w:numPr>
          <w:ilvl w:val="0"/>
          <w:numId w:val="1"/>
        </w:numPr>
        <w:tabs>
          <w:tab w:val="left" w:pos="709"/>
        </w:tabs>
        <w:spacing w:before="60" w:beforeAutospacing="0" w:after="60" w:afterAutospacing="0" w:line="312" w:lineRule="auto"/>
        <w:ind w:left="0" w:firstLine="420"/>
        <w:jc w:val="both"/>
        <w:rPr>
          <w:rFonts w:hint="eastAsia" w:asciiTheme="minorEastAsia" w:hAnsiTheme="minorEastAsia"/>
          <w:sz w:val="32"/>
          <w:szCs w:val="32"/>
        </w:rPr>
      </w:pPr>
      <w:r>
        <w:rPr>
          <w:rFonts w:hint="eastAsia" w:cs="宋体" w:asciiTheme="minorEastAsia" w:hAnsiTheme="minorEastAsia"/>
          <w:color w:val="333333"/>
          <w:szCs w:val="24"/>
        </w:rPr>
        <w:t>导师制：按照</w:t>
      </w:r>
      <w:r>
        <w:rPr>
          <w:rFonts w:cs="Calibri" w:asciiTheme="minorEastAsia" w:hAnsiTheme="minorEastAsia"/>
          <w:color w:val="333333"/>
          <w:szCs w:val="24"/>
        </w:rPr>
        <w:t>1:</w:t>
      </w:r>
      <w:r>
        <w:rPr>
          <w:rFonts w:hint="eastAsia" w:cs="Calibri" w:asciiTheme="minorEastAsia" w:hAnsiTheme="minorEastAsia"/>
          <w:color w:val="333333"/>
          <w:szCs w:val="24"/>
        </w:rPr>
        <w:t>4</w:t>
      </w:r>
      <w:r>
        <w:rPr>
          <w:rFonts w:hint="eastAsia" w:cs="宋体" w:asciiTheme="minorEastAsia" w:hAnsiTheme="minorEastAsia"/>
          <w:color w:val="333333"/>
          <w:szCs w:val="24"/>
        </w:rPr>
        <w:t>的比例为学生配备经验丰富和认真负责的导师，指导学生规划学习生涯。</w:t>
      </w:r>
    </w:p>
    <w:p w14:paraId="365F3C76">
      <w:pPr>
        <w:pStyle w:val="4"/>
        <w:widowControl/>
        <w:numPr>
          <w:ilvl w:val="0"/>
          <w:numId w:val="1"/>
        </w:numPr>
        <w:tabs>
          <w:tab w:val="left" w:pos="709"/>
        </w:tabs>
        <w:spacing w:before="60" w:beforeAutospacing="0" w:after="60" w:afterAutospacing="0" w:line="312" w:lineRule="auto"/>
        <w:ind w:left="0" w:firstLine="420"/>
        <w:jc w:val="both"/>
        <w:rPr>
          <w:rFonts w:hint="eastAsia" w:asciiTheme="minorEastAsia" w:hAnsiTheme="minorEastAsia"/>
          <w:sz w:val="32"/>
          <w:szCs w:val="32"/>
        </w:rPr>
      </w:pPr>
      <w:r>
        <w:rPr>
          <w:rFonts w:hint="eastAsia" w:cs="宋体" w:asciiTheme="minorEastAsia" w:hAnsiTheme="minorEastAsia"/>
          <w:color w:val="333333"/>
          <w:szCs w:val="24"/>
        </w:rPr>
        <w:t>实践教学：充分利用校内外资源，有针对性地拓展校内外实习空间，根据学习进程和课程特点分层次建设校外实习基地，全方位锻炼学生的管理能力；积极与境外单位合作，开展境外带薪实习项目，拓宽学生的国际视野。</w:t>
      </w:r>
    </w:p>
    <w:p w14:paraId="7E9F3BFA">
      <w:pPr>
        <w:pStyle w:val="4"/>
        <w:widowControl/>
        <w:numPr>
          <w:ilvl w:val="0"/>
          <w:numId w:val="1"/>
        </w:numPr>
        <w:tabs>
          <w:tab w:val="left" w:pos="709"/>
        </w:tabs>
        <w:spacing w:before="60" w:beforeAutospacing="0" w:after="60" w:afterAutospacing="0" w:line="312" w:lineRule="auto"/>
        <w:ind w:left="0" w:firstLine="420"/>
        <w:jc w:val="both"/>
        <w:rPr>
          <w:rFonts w:hint="eastAsia" w:asciiTheme="minorEastAsia" w:hAnsiTheme="minorEastAsia"/>
          <w:sz w:val="32"/>
          <w:szCs w:val="32"/>
        </w:rPr>
      </w:pPr>
      <w:r>
        <w:rPr>
          <w:rFonts w:hint="eastAsia" w:cs="宋体" w:asciiTheme="minorEastAsia" w:hAnsiTheme="minorEastAsia"/>
          <w:color w:val="333333"/>
          <w:szCs w:val="24"/>
        </w:rPr>
        <w:t>教学方式：采取团队协作式学习方法，通过案例分析、情景模拟、管理实践及小学期课程等环节使学生理解管理真谛，增强学生团队意识，提高学生的沟通合作能力、决策能力和综合执行能力。</w:t>
      </w:r>
    </w:p>
    <w:p w14:paraId="3DCCE01B">
      <w:pPr>
        <w:pStyle w:val="4"/>
        <w:widowControl/>
        <w:numPr>
          <w:ilvl w:val="0"/>
          <w:numId w:val="1"/>
        </w:numPr>
        <w:tabs>
          <w:tab w:val="left" w:pos="709"/>
        </w:tabs>
        <w:spacing w:before="60" w:beforeAutospacing="0" w:after="60" w:afterAutospacing="0" w:line="312" w:lineRule="auto"/>
        <w:ind w:left="0" w:firstLine="420"/>
        <w:jc w:val="both"/>
        <w:rPr>
          <w:rFonts w:hint="eastAsia" w:asciiTheme="minorEastAsia" w:hAnsiTheme="minorEastAsia"/>
          <w:sz w:val="32"/>
          <w:szCs w:val="32"/>
        </w:rPr>
      </w:pPr>
      <w:r>
        <w:rPr>
          <w:rFonts w:hint="eastAsia" w:cs="宋体" w:asciiTheme="minorEastAsia" w:hAnsiTheme="minorEastAsia"/>
          <w:color w:val="333333"/>
          <w:szCs w:val="24"/>
        </w:rPr>
        <w:t>特色活动：企业家研究会、权威创新创业竞赛、瞪羚拓新行走课堂、大创1</w:t>
      </w:r>
      <w:r>
        <w:rPr>
          <w:rFonts w:cs="宋体" w:asciiTheme="minorEastAsia" w:hAnsiTheme="minorEastAsia"/>
          <w:color w:val="333333"/>
          <w:szCs w:val="24"/>
        </w:rPr>
        <w:t>00</w:t>
      </w:r>
      <w:r>
        <w:rPr>
          <w:rFonts w:hint="eastAsia" w:cs="宋体" w:asciiTheme="minorEastAsia" w:hAnsiTheme="minorEastAsia"/>
          <w:color w:val="333333"/>
          <w:szCs w:val="24"/>
        </w:rPr>
        <w:t>创新创业人才孵化营、企业参观、精品读书活动等。</w:t>
      </w:r>
    </w:p>
    <w:p w14:paraId="77BE3011">
      <w:pPr>
        <w:pStyle w:val="4"/>
        <w:widowControl/>
        <w:numPr>
          <w:ilvl w:val="0"/>
          <w:numId w:val="1"/>
        </w:numPr>
        <w:tabs>
          <w:tab w:val="left" w:pos="709"/>
        </w:tabs>
        <w:spacing w:before="60" w:beforeAutospacing="0" w:after="60" w:afterAutospacing="0" w:line="312" w:lineRule="auto"/>
        <w:ind w:left="0" w:firstLine="420"/>
        <w:jc w:val="both"/>
        <w:rPr>
          <w:rFonts w:hint="eastAsia" w:asciiTheme="minorEastAsia" w:hAnsiTheme="minorEastAsia"/>
          <w:sz w:val="32"/>
          <w:szCs w:val="32"/>
        </w:rPr>
      </w:pPr>
      <w:r>
        <w:rPr>
          <w:rFonts w:hint="eastAsia" w:cs="宋体" w:asciiTheme="minorEastAsia" w:hAnsiTheme="minorEastAsia"/>
          <w:color w:val="333333"/>
          <w:szCs w:val="24"/>
        </w:rPr>
        <w:t>创业孵化园：利用创业引导基金支持有项目的学生进入校内大学生创业孵化园进行项目孵化。</w:t>
      </w:r>
    </w:p>
    <w:p w14:paraId="5646E839">
      <w:pPr>
        <w:pStyle w:val="4"/>
        <w:widowControl/>
        <w:spacing w:before="60" w:beforeAutospacing="0" w:after="60" w:afterAutospacing="0" w:line="312" w:lineRule="auto"/>
        <w:jc w:val="both"/>
        <w:rPr>
          <w:rFonts w:hint="eastAsia" w:ascii="黑体" w:hAnsi="黑体" w:eastAsia="黑体" w:cs="宋体"/>
          <w:b/>
          <w:color w:val="333333"/>
          <w:sz w:val="28"/>
          <w:szCs w:val="28"/>
        </w:rPr>
      </w:pPr>
      <w:r>
        <w:rPr>
          <w:rFonts w:hint="eastAsia" w:ascii="黑体" w:hAnsi="黑体" w:eastAsia="黑体" w:cs="宋体"/>
          <w:b/>
          <w:color w:val="333333"/>
          <w:sz w:val="28"/>
          <w:szCs w:val="28"/>
        </w:rPr>
        <w:t>实验区学费</w:t>
      </w:r>
    </w:p>
    <w:p w14:paraId="7947A9D8">
      <w:pPr>
        <w:pStyle w:val="4"/>
        <w:widowControl/>
        <w:spacing w:before="60" w:beforeAutospacing="0" w:after="60" w:afterAutospacing="0" w:line="312" w:lineRule="auto"/>
        <w:ind w:firstLine="420"/>
        <w:jc w:val="both"/>
        <w:rPr>
          <w:rFonts w:hint="eastAsia" w:asciiTheme="minorEastAsia" w:hAnsiTheme="minorEastAsia"/>
          <w:sz w:val="32"/>
          <w:szCs w:val="32"/>
        </w:rPr>
      </w:pPr>
      <w:r>
        <w:rPr>
          <w:rFonts w:hint="eastAsia" w:cs="宋体" w:asciiTheme="minorEastAsia" w:hAnsiTheme="minorEastAsia"/>
          <w:color w:val="333333"/>
          <w:szCs w:val="24"/>
        </w:rPr>
        <w:t>国家级实验区有专项经费支持，</w:t>
      </w:r>
      <w:r>
        <w:rPr>
          <w:rFonts w:hint="eastAsia" w:cs="宋体" w:asciiTheme="minorEastAsia" w:hAnsiTheme="minorEastAsia"/>
          <w:b/>
          <w:bCs/>
          <w:color w:val="333333"/>
          <w:szCs w:val="24"/>
        </w:rPr>
        <w:t>无需缴纳其他额外费用</w:t>
      </w:r>
      <w:r>
        <w:rPr>
          <w:rFonts w:hint="eastAsia" w:cs="宋体" w:asciiTheme="minorEastAsia" w:hAnsiTheme="minorEastAsia"/>
          <w:color w:val="333333"/>
          <w:szCs w:val="24"/>
        </w:rPr>
        <w:t>，学费与工商管理专业相同。</w:t>
      </w:r>
    </w:p>
    <w:p w14:paraId="4D4BCD30">
      <w:pPr>
        <w:pStyle w:val="4"/>
        <w:widowControl/>
        <w:spacing w:before="60" w:beforeAutospacing="0" w:after="60" w:afterAutospacing="0" w:line="312" w:lineRule="auto"/>
        <w:jc w:val="both"/>
        <w:rPr>
          <w:rFonts w:hint="eastAsia" w:ascii="黑体" w:hAnsi="黑体" w:eastAsia="黑体" w:cs="宋体"/>
          <w:b/>
          <w:color w:val="333333"/>
          <w:sz w:val="28"/>
          <w:szCs w:val="28"/>
        </w:rPr>
      </w:pPr>
      <w:r>
        <w:rPr>
          <w:rFonts w:hint="eastAsia" w:ascii="黑体" w:hAnsi="黑体" w:eastAsia="黑体" w:cs="宋体"/>
          <w:b/>
          <w:color w:val="333333"/>
          <w:sz w:val="28"/>
          <w:szCs w:val="28"/>
        </w:rPr>
        <w:t>实验区成就（部分）</w:t>
      </w:r>
    </w:p>
    <w:p w14:paraId="700B7EE1">
      <w:pPr>
        <w:pStyle w:val="4"/>
        <w:widowControl/>
        <w:numPr>
          <w:ilvl w:val="0"/>
          <w:numId w:val="2"/>
        </w:numPr>
        <w:tabs>
          <w:tab w:val="left" w:pos="709"/>
        </w:tabs>
        <w:spacing w:before="60" w:beforeAutospacing="0" w:after="60" w:afterAutospacing="0" w:line="312" w:lineRule="auto"/>
        <w:ind w:left="0" w:firstLine="426"/>
        <w:jc w:val="both"/>
        <w:rPr>
          <w:rFonts w:hint="eastAsia" w:cs="宋体" w:asciiTheme="minorEastAsia" w:hAnsiTheme="minorEastAsia"/>
          <w:color w:val="333333"/>
          <w:szCs w:val="24"/>
        </w:rPr>
      </w:pPr>
      <w:r>
        <w:rPr>
          <w:rFonts w:hint="eastAsia" w:cs="宋体" w:asciiTheme="minorEastAsia" w:hAnsiTheme="minorEastAsia"/>
          <w:color w:val="333333"/>
          <w:szCs w:val="24"/>
        </w:rPr>
        <w:t>王晟同学的“锐意”团队在佛山市禅城区人民政府主办的</w:t>
      </w:r>
      <w:r>
        <w:rPr>
          <w:rFonts w:cs="宋体" w:asciiTheme="minorEastAsia" w:hAnsiTheme="minorEastAsia"/>
          <w:color w:val="333333"/>
          <w:szCs w:val="24"/>
        </w:rPr>
        <w:t>2009</w:t>
      </w:r>
      <w:r>
        <w:rPr>
          <w:rFonts w:hint="eastAsia" w:cs="宋体" w:asciiTheme="minorEastAsia" w:hAnsiTheme="minorEastAsia"/>
          <w:color w:val="333333"/>
          <w:szCs w:val="24"/>
        </w:rPr>
        <w:t>“佛山国际创意产业园杯”珠三角高校创意创业大赛的</w:t>
      </w:r>
      <w:r>
        <w:rPr>
          <w:rFonts w:cs="宋体" w:asciiTheme="minorEastAsia" w:hAnsiTheme="minorEastAsia"/>
          <w:color w:val="333333"/>
          <w:szCs w:val="24"/>
        </w:rPr>
        <w:t>150</w:t>
      </w:r>
      <w:r>
        <w:rPr>
          <w:rFonts w:hint="eastAsia" w:cs="宋体" w:asciiTheme="minorEastAsia" w:hAnsiTheme="minorEastAsia"/>
          <w:color w:val="333333"/>
          <w:szCs w:val="24"/>
        </w:rPr>
        <w:t>支各高校代表队中脱颖而出，获得唯一的一个一等奖，并于</w:t>
      </w:r>
      <w:r>
        <w:rPr>
          <w:rFonts w:cs="宋体" w:asciiTheme="minorEastAsia" w:hAnsiTheme="minorEastAsia"/>
          <w:color w:val="333333"/>
          <w:szCs w:val="24"/>
        </w:rPr>
        <w:t>2010</w:t>
      </w:r>
      <w:r>
        <w:rPr>
          <w:rFonts w:hint="eastAsia" w:cs="宋体" w:asciiTheme="minorEastAsia" w:hAnsiTheme="minorEastAsia"/>
          <w:color w:val="333333"/>
          <w:szCs w:val="24"/>
        </w:rPr>
        <w:t>年</w:t>
      </w:r>
      <w:r>
        <w:rPr>
          <w:rFonts w:cs="宋体" w:asciiTheme="minorEastAsia" w:hAnsiTheme="minorEastAsia"/>
          <w:color w:val="333333"/>
          <w:szCs w:val="24"/>
        </w:rPr>
        <w:t>4</w:t>
      </w:r>
      <w:r>
        <w:rPr>
          <w:rFonts w:hint="eastAsia" w:cs="宋体" w:asciiTheme="minorEastAsia" w:hAnsiTheme="minorEastAsia"/>
          <w:color w:val="333333"/>
          <w:szCs w:val="24"/>
        </w:rPr>
        <w:t>月代表学校参加广东省“挑战杯”创业计划竞赛，获得金奖。还获得“</w:t>
      </w:r>
      <w:r>
        <w:rPr>
          <w:rFonts w:cs="宋体" w:asciiTheme="minorEastAsia" w:hAnsiTheme="minorEastAsia"/>
          <w:color w:val="333333"/>
          <w:szCs w:val="24"/>
        </w:rPr>
        <w:t>2010</w:t>
      </w:r>
      <w:r>
        <w:rPr>
          <w:rFonts w:hint="eastAsia" w:cs="宋体" w:asciiTheme="minorEastAsia" w:hAnsiTheme="minorEastAsia"/>
          <w:color w:val="333333"/>
          <w:szCs w:val="24"/>
        </w:rPr>
        <w:t>年中国大学生年度人物”入围奖，是广东省仅有的</w:t>
      </w:r>
      <w:r>
        <w:rPr>
          <w:rFonts w:cs="宋体" w:asciiTheme="minorEastAsia" w:hAnsiTheme="minorEastAsia"/>
          <w:color w:val="333333"/>
          <w:szCs w:val="24"/>
        </w:rPr>
        <w:t>4</w:t>
      </w:r>
      <w:r>
        <w:rPr>
          <w:rFonts w:hint="eastAsia" w:cs="宋体" w:asciiTheme="minorEastAsia" w:hAnsiTheme="minorEastAsia"/>
          <w:color w:val="333333"/>
          <w:szCs w:val="24"/>
        </w:rPr>
        <w:t>名学生之一。</w:t>
      </w:r>
    </w:p>
    <w:p w14:paraId="07A682D7">
      <w:pPr>
        <w:pStyle w:val="4"/>
        <w:widowControl/>
        <w:numPr>
          <w:ilvl w:val="0"/>
          <w:numId w:val="2"/>
        </w:numPr>
        <w:tabs>
          <w:tab w:val="left" w:pos="709"/>
        </w:tabs>
        <w:spacing w:before="60" w:beforeAutospacing="0" w:after="60" w:afterAutospacing="0" w:line="312" w:lineRule="auto"/>
        <w:ind w:left="0" w:firstLine="420"/>
        <w:jc w:val="both"/>
        <w:rPr>
          <w:rFonts w:hint="eastAsia" w:cs="宋体" w:asciiTheme="minorEastAsia" w:hAnsiTheme="minorEastAsia"/>
          <w:color w:val="333333"/>
          <w:szCs w:val="24"/>
        </w:rPr>
      </w:pPr>
      <w:r>
        <w:rPr>
          <w:rFonts w:hint="eastAsia" w:cs="宋体" w:asciiTheme="minorEastAsia" w:hAnsiTheme="minorEastAsia"/>
          <w:color w:val="333333"/>
          <w:szCs w:val="24"/>
        </w:rPr>
        <w:t>2019届陈文粮、冯泽权在校期间创办NI自设计，获广州日报专篇报道。毕业后创办</w:t>
      </w:r>
      <w:r>
        <w:rPr>
          <w:rFonts w:cs="宋体" w:asciiTheme="minorEastAsia" w:hAnsiTheme="minorEastAsia"/>
          <w:color w:val="333333"/>
          <w:szCs w:val="24"/>
        </w:rPr>
        <w:t>广州头号运营管理有限公司，旗下“不可炸鸡”品牌运营顺利，短时间内发展到600家连锁店</w:t>
      </w:r>
      <w:r>
        <w:rPr>
          <w:rFonts w:hint="eastAsia" w:cs="宋体" w:asciiTheme="minorEastAsia" w:hAnsiTheme="minorEastAsia"/>
          <w:color w:val="333333"/>
          <w:szCs w:val="24"/>
        </w:rPr>
        <w:t>，并为母校</w:t>
      </w:r>
      <w:r>
        <w:rPr>
          <w:rFonts w:cs="宋体" w:asciiTheme="minorEastAsia" w:hAnsiTheme="minorEastAsia"/>
          <w:color w:val="333333"/>
          <w:szCs w:val="24"/>
        </w:rPr>
        <w:t>捐赠现金20万元</w:t>
      </w:r>
      <w:r>
        <w:rPr>
          <w:rFonts w:hint="eastAsia" w:cs="宋体" w:asciiTheme="minorEastAsia" w:hAnsiTheme="minorEastAsia"/>
          <w:color w:val="333333"/>
          <w:szCs w:val="24"/>
        </w:rPr>
        <w:t>。</w:t>
      </w:r>
    </w:p>
    <w:p w14:paraId="0FA41EE1">
      <w:pPr>
        <w:pStyle w:val="4"/>
        <w:widowControl/>
        <w:numPr>
          <w:ilvl w:val="0"/>
          <w:numId w:val="2"/>
        </w:numPr>
        <w:tabs>
          <w:tab w:val="left" w:pos="709"/>
        </w:tabs>
        <w:spacing w:before="60" w:beforeAutospacing="0" w:after="60" w:afterAutospacing="0" w:line="312" w:lineRule="auto"/>
        <w:ind w:left="0" w:firstLine="420"/>
        <w:jc w:val="both"/>
        <w:rPr>
          <w:rFonts w:hint="eastAsia" w:cs="宋体" w:asciiTheme="minorEastAsia" w:hAnsiTheme="minorEastAsia"/>
          <w:color w:val="333333"/>
          <w:szCs w:val="24"/>
        </w:rPr>
      </w:pPr>
      <w:r>
        <w:rPr>
          <w:rFonts w:hint="eastAsia" w:cs="宋体" w:asciiTheme="minorEastAsia" w:hAnsiTheme="minorEastAsia"/>
          <w:color w:val="333333"/>
          <w:szCs w:val="24"/>
        </w:rPr>
        <w:t>历年来，实验区学生勇于创新，敢于实践，积极参与各类高水平大学生学术及创新创业比赛并斩获多个奖项。</w:t>
      </w:r>
      <w:r>
        <w:rPr>
          <w:rFonts w:cs="宋体" w:asciiTheme="minorEastAsia" w:hAnsiTheme="minorEastAsia"/>
          <w:color w:val="333333"/>
          <w:szCs w:val="24"/>
        </w:rPr>
        <w:t>近五年，实验区学生主持或作为核心成员斩获省级以上创新创业类奖项超110项，其中国家级奖项40余项，覆盖“挑战杯”“</w:t>
      </w:r>
      <w:r>
        <w:rPr>
          <w:rFonts w:hint="eastAsia" w:cs="宋体" w:asciiTheme="minorEastAsia" w:hAnsiTheme="minorEastAsia"/>
          <w:color w:val="333333"/>
          <w:szCs w:val="24"/>
        </w:rPr>
        <w:t>国创赛</w:t>
      </w:r>
      <w:r>
        <w:rPr>
          <w:rFonts w:cs="宋体" w:asciiTheme="minorEastAsia" w:hAnsiTheme="minorEastAsia"/>
          <w:color w:val="333333"/>
          <w:szCs w:val="24"/>
        </w:rPr>
        <w:t>”、全国大学生数学建模大赛等国内顶级双创赛事。</w:t>
      </w:r>
      <w:r>
        <w:rPr>
          <w:rFonts w:hint="eastAsia" w:cs="宋体" w:asciiTheme="minorEastAsia" w:hAnsiTheme="minorEastAsia"/>
          <w:color w:val="333333"/>
          <w:szCs w:val="24"/>
        </w:rPr>
        <w:t>其中，</w:t>
      </w:r>
      <w:r>
        <w:rPr>
          <w:rFonts w:cs="宋体" w:asciiTheme="minorEastAsia" w:hAnsiTheme="minorEastAsia"/>
          <w:color w:val="333333"/>
          <w:szCs w:val="24"/>
        </w:rPr>
        <w:t>2020 年第十二届“挑战杯”中国大学生创业计划竞赛获全国银奖</w:t>
      </w:r>
      <w:r>
        <w:rPr>
          <w:rFonts w:hint="eastAsia" w:cs="宋体" w:asciiTheme="minorEastAsia" w:hAnsiTheme="minorEastAsia"/>
          <w:color w:val="333333"/>
          <w:szCs w:val="24"/>
        </w:rPr>
        <w:t>在；</w:t>
      </w:r>
      <w:r>
        <w:rPr>
          <w:rFonts w:cs="宋体" w:asciiTheme="minorEastAsia" w:hAnsiTheme="minorEastAsia"/>
          <w:color w:val="333333"/>
          <w:szCs w:val="24"/>
        </w:rPr>
        <w:t>2021年第七届中国国际“互联网</w:t>
      </w:r>
      <w:r>
        <w:rPr>
          <w:rFonts w:hint="eastAsia" w:cs="宋体" w:asciiTheme="minorEastAsia" w:hAnsiTheme="minorEastAsia"/>
          <w:color w:val="333333"/>
          <w:szCs w:val="24"/>
        </w:rPr>
        <w:t>+</w:t>
      </w:r>
      <w:r>
        <w:rPr>
          <w:rFonts w:cs="宋体" w:asciiTheme="minorEastAsia" w:hAnsiTheme="minorEastAsia"/>
          <w:color w:val="333333"/>
          <w:szCs w:val="24"/>
        </w:rPr>
        <w:t>”大学生创新创业大赛获全国铜奖；</w:t>
      </w:r>
      <w:r>
        <w:rPr>
          <w:rFonts w:hint="eastAsia" w:cs="宋体" w:asciiTheme="minorEastAsia" w:hAnsiTheme="minorEastAsia"/>
          <w:color w:val="333333"/>
          <w:szCs w:val="24"/>
        </w:rPr>
        <w:t>2</w:t>
      </w:r>
      <w:r>
        <w:rPr>
          <w:rFonts w:cs="宋体" w:asciiTheme="minorEastAsia" w:hAnsiTheme="minorEastAsia"/>
          <w:color w:val="333333"/>
          <w:szCs w:val="24"/>
        </w:rPr>
        <w:t>02</w:t>
      </w:r>
      <w:r>
        <w:rPr>
          <w:rFonts w:hint="eastAsia" w:cs="宋体" w:asciiTheme="minorEastAsia" w:hAnsiTheme="minorEastAsia"/>
          <w:color w:val="333333"/>
          <w:szCs w:val="24"/>
        </w:rPr>
        <w:t>2年第十三届“挑战杯”中国大学生创业计划竞赛中，</w:t>
      </w:r>
      <w:r>
        <w:rPr>
          <w:rFonts w:cs="宋体" w:asciiTheme="minorEastAsia" w:hAnsiTheme="minorEastAsia"/>
          <w:color w:val="333333"/>
          <w:szCs w:val="24"/>
        </w:rPr>
        <w:t>斩获国赛铜奖2项、省赛金奖4项、省赛银奖2项</w:t>
      </w:r>
      <w:r>
        <w:rPr>
          <w:rFonts w:hint="eastAsia" w:cs="宋体" w:asciiTheme="minorEastAsia" w:hAnsiTheme="minorEastAsia"/>
          <w:color w:val="333333"/>
          <w:szCs w:val="24"/>
        </w:rPr>
        <w:t>；2</w:t>
      </w:r>
      <w:r>
        <w:rPr>
          <w:rFonts w:cs="宋体" w:asciiTheme="minorEastAsia" w:hAnsiTheme="minorEastAsia"/>
          <w:color w:val="333333"/>
          <w:szCs w:val="24"/>
        </w:rPr>
        <w:t>023</w:t>
      </w:r>
      <w:r>
        <w:rPr>
          <w:rFonts w:hint="eastAsia" w:cs="宋体" w:asciiTheme="minorEastAsia" w:hAnsiTheme="minorEastAsia"/>
          <w:color w:val="333333"/>
          <w:szCs w:val="24"/>
        </w:rPr>
        <w:t>年第九届中国国际“互联网+”大学生创新创业大赛获省赛银奖2项；2024年</w:t>
      </w:r>
      <w:r>
        <w:rPr>
          <w:rFonts w:cs="宋体" w:asciiTheme="minorEastAsia" w:hAnsiTheme="minorEastAsia"/>
          <w:color w:val="333333"/>
          <w:szCs w:val="24"/>
        </w:rPr>
        <w:t>第十四届“挑战杯”广东大学生创业计划竞赛</w:t>
      </w:r>
      <w:r>
        <w:rPr>
          <w:rFonts w:hint="eastAsia" w:cs="宋体" w:asciiTheme="minorEastAsia" w:hAnsiTheme="minorEastAsia"/>
          <w:color w:val="333333"/>
          <w:szCs w:val="24"/>
        </w:rPr>
        <w:t>中，</w:t>
      </w:r>
      <w:r>
        <w:rPr>
          <w:rFonts w:cs="宋体" w:asciiTheme="minorEastAsia" w:hAnsiTheme="minorEastAsia"/>
          <w:color w:val="333333"/>
          <w:szCs w:val="24"/>
        </w:rPr>
        <w:t>实验区学生作为负责人的项目</w:t>
      </w:r>
      <w:r>
        <w:rPr>
          <w:rFonts w:hint="eastAsia" w:cs="宋体" w:asciiTheme="minorEastAsia" w:hAnsiTheme="minorEastAsia"/>
          <w:color w:val="333333"/>
          <w:szCs w:val="24"/>
        </w:rPr>
        <w:t>斩获省赛金奖2项</w:t>
      </w:r>
      <w:r>
        <w:rPr>
          <w:rFonts w:cs="宋体" w:asciiTheme="minorEastAsia" w:hAnsiTheme="minorEastAsia"/>
          <w:color w:val="333333"/>
          <w:szCs w:val="24"/>
        </w:rPr>
        <w:t>，助力学校蝉联赛事“优胜杯”</w:t>
      </w:r>
      <w:r>
        <w:rPr>
          <w:rFonts w:hint="eastAsia" w:cs="宋体" w:asciiTheme="minorEastAsia" w:hAnsiTheme="minorEastAsia"/>
          <w:color w:val="333333"/>
          <w:szCs w:val="24"/>
        </w:rPr>
        <w:t>。</w:t>
      </w:r>
    </w:p>
    <w:p w14:paraId="26415DF4">
      <w:pPr>
        <w:pStyle w:val="4"/>
        <w:widowControl/>
        <w:numPr>
          <w:ilvl w:val="0"/>
          <w:numId w:val="2"/>
        </w:numPr>
        <w:tabs>
          <w:tab w:val="left" w:pos="709"/>
        </w:tabs>
        <w:spacing w:before="60" w:beforeAutospacing="0" w:after="60" w:afterAutospacing="0" w:line="312" w:lineRule="auto"/>
        <w:ind w:left="0" w:firstLine="420"/>
        <w:jc w:val="both"/>
        <w:rPr>
          <w:rFonts w:hint="eastAsia" w:cs="宋体" w:asciiTheme="minorEastAsia" w:hAnsiTheme="minorEastAsia"/>
          <w:color w:val="333333"/>
          <w:szCs w:val="24"/>
        </w:rPr>
      </w:pPr>
      <w:r>
        <w:rPr>
          <w:rFonts w:cs="宋体" w:asciiTheme="minorEastAsia" w:hAnsiTheme="minorEastAsia"/>
          <w:color w:val="333333"/>
          <w:szCs w:val="24"/>
        </w:rPr>
        <w:t>历届毕业生整体深造率稳定在30%，形成国内顶尖高校与世界名校双向并进的格局。国内升学方面，涌现出考入北京大学、中国科学技术大学、复旦大学、四川大学、华南师范大学、暨南大学、大连交通大学等高校的优秀毕业生；境外升学方面，大批学子赴新加坡南洋理工大学、香港大学、香港中文大学、香港城市大学、英国爱丁堡大学、澳大利亚国立大学、纽约大学等世界知名院校攻读研究生。</w:t>
      </w:r>
    </w:p>
    <w:p w14:paraId="34BE26AB">
      <w:pPr>
        <w:pStyle w:val="4"/>
        <w:widowControl/>
        <w:numPr>
          <w:ilvl w:val="0"/>
          <w:numId w:val="2"/>
        </w:numPr>
        <w:tabs>
          <w:tab w:val="left" w:pos="709"/>
        </w:tabs>
        <w:spacing w:before="60" w:beforeAutospacing="0" w:after="60" w:afterAutospacing="0" w:line="312" w:lineRule="auto"/>
        <w:ind w:left="0" w:firstLine="420"/>
        <w:jc w:val="both"/>
        <w:rPr>
          <w:rFonts w:hint="eastAsia" w:cs="宋体" w:asciiTheme="minorEastAsia" w:hAnsiTheme="minorEastAsia"/>
          <w:color w:val="333333"/>
          <w:szCs w:val="24"/>
        </w:rPr>
      </w:pPr>
      <w:r>
        <w:rPr>
          <w:rFonts w:cs="宋体" w:asciiTheme="minorEastAsia" w:hAnsiTheme="minorEastAsia"/>
          <w:color w:val="333333"/>
          <w:szCs w:val="24"/>
        </w:rPr>
        <w:t>实验区毕业生就业率长期稳定在9</w:t>
      </w:r>
      <w:r>
        <w:rPr>
          <w:rFonts w:hint="eastAsia" w:cs="宋体" w:asciiTheme="minorEastAsia" w:hAnsiTheme="minorEastAsia"/>
          <w:color w:val="333333"/>
          <w:szCs w:val="24"/>
        </w:rPr>
        <w:t>8</w:t>
      </w:r>
      <w:r>
        <w:rPr>
          <w:rFonts w:cs="宋体" w:asciiTheme="minorEastAsia" w:hAnsiTheme="minorEastAsia"/>
          <w:color w:val="333333"/>
          <w:szCs w:val="24"/>
        </w:rPr>
        <w:t>%以上，发展路径多元。每届约</w:t>
      </w:r>
      <w:r>
        <w:rPr>
          <w:rFonts w:hint="eastAsia" w:cs="宋体" w:asciiTheme="minorEastAsia" w:hAnsiTheme="minorEastAsia"/>
          <w:color w:val="333333"/>
          <w:szCs w:val="24"/>
        </w:rPr>
        <w:t>20%</w:t>
      </w:r>
      <w:r>
        <w:rPr>
          <w:rFonts w:cs="宋体" w:asciiTheme="minorEastAsia" w:hAnsiTheme="minorEastAsia"/>
          <w:color w:val="333333"/>
          <w:szCs w:val="24"/>
        </w:rPr>
        <w:t>的毕业生进入字节跳动、腾讯、拼多多、唯品会、美团、四大国有银行等行业头部企业就职；部分毕业生通过考公考编进入政府机关与事业单位；自主创业特色鲜明，培养出冯泽权</w:t>
      </w:r>
      <w:r>
        <w:rPr>
          <w:rFonts w:hint="eastAsia" w:cs="宋体" w:asciiTheme="minorEastAsia" w:hAnsiTheme="minorEastAsia"/>
          <w:color w:val="333333"/>
          <w:szCs w:val="24"/>
        </w:rPr>
        <w:t>、陈文粮、邓丽君、胡一行</w:t>
      </w:r>
      <w:r>
        <w:rPr>
          <w:rFonts w:cs="宋体" w:asciiTheme="minorEastAsia" w:hAnsiTheme="minorEastAsia"/>
          <w:color w:val="333333"/>
          <w:szCs w:val="24"/>
        </w:rPr>
        <w:t>等创业校友代表，近年每届约</w:t>
      </w:r>
      <w:r>
        <w:rPr>
          <w:rFonts w:hint="eastAsia" w:cs="宋体" w:asciiTheme="minorEastAsia" w:hAnsiTheme="minorEastAsia"/>
          <w:color w:val="333333"/>
          <w:szCs w:val="24"/>
        </w:rPr>
        <w:t>10%</w:t>
      </w:r>
      <w:r>
        <w:rPr>
          <w:rFonts w:cs="宋体" w:asciiTheme="minorEastAsia" w:hAnsiTheme="minorEastAsia"/>
          <w:color w:val="333333"/>
          <w:szCs w:val="24"/>
        </w:rPr>
        <w:t>毕业生选择自主创业，践行企业家精神。</w:t>
      </w:r>
    </w:p>
    <w:p w14:paraId="7DDE3D77">
      <w:pPr>
        <w:snapToGrid w:val="0"/>
        <w:spacing w:after="120" w:line="312" w:lineRule="auto"/>
        <w:ind w:firstLine="420" w:firstLineChars="200"/>
        <w:rPr>
          <w:rFonts w:hint="eastAsia" w:ascii="微软雅黑" w:hAnsi="微软雅黑" w:eastAsia="微软雅黑"/>
        </w:rPr>
      </w:pPr>
    </w:p>
    <w:sectPr>
      <w:headerReference r:id="rId3" w:type="default"/>
      <w:footerReference r:id="rId4" w:type="default"/>
      <w:footerReference r:id="rId5" w:type="even"/>
      <w:pgSz w:w="11906" w:h="16838"/>
      <w:pgMar w:top="1440" w:right="1701" w:bottom="1440"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F8C24">
    <w:pPr>
      <w:pStyle w:val="2"/>
      <w:framePr w:wrap="around" w:vAnchor="text" w:hAnchor="margin" w:xAlign="center" w:y="1"/>
      <w:rPr>
        <w:rStyle w:val="10"/>
      </w:rPr>
    </w:pPr>
    <w:r>
      <w:fldChar w:fldCharType="begin"/>
    </w:r>
    <w:r>
      <w:rPr>
        <w:rStyle w:val="10"/>
      </w:rPr>
      <w:instrText xml:space="preserve">PAGE  </w:instrText>
    </w:r>
    <w:r>
      <w:fldChar w:fldCharType="separate"/>
    </w:r>
    <w:r>
      <w:rPr>
        <w:rStyle w:val="10"/>
      </w:rPr>
      <w:t>2</w:t>
    </w:r>
    <w:r>
      <w:fldChar w:fldCharType="end"/>
    </w:r>
  </w:p>
  <w:p w14:paraId="59B0093C">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7FC0F">
    <w:pPr>
      <w:pStyle w:val="2"/>
      <w:framePr w:wrap="around" w:vAnchor="text" w:hAnchor="margin" w:xAlign="center" w:y="1"/>
      <w:rPr>
        <w:rStyle w:val="10"/>
      </w:rPr>
    </w:pPr>
    <w:r>
      <w:fldChar w:fldCharType="begin"/>
    </w:r>
    <w:r>
      <w:rPr>
        <w:rStyle w:val="10"/>
      </w:rPr>
      <w:instrText xml:space="preserve">PAGE  </w:instrText>
    </w:r>
    <w:r>
      <w:fldChar w:fldCharType="separate"/>
    </w:r>
    <w:r>
      <w:rPr>
        <w:rStyle w:val="10"/>
      </w:rPr>
      <w:t>2</w:t>
    </w:r>
    <w:r>
      <w:fldChar w:fldCharType="end"/>
    </w:r>
  </w:p>
  <w:p w14:paraId="330D94BB">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077CC">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5101DF"/>
    <w:multiLevelType w:val="multilevel"/>
    <w:tmpl w:val="3A5101DF"/>
    <w:lvl w:ilvl="0" w:tentative="0">
      <w:start w:val="1"/>
      <w:numFmt w:val="decimal"/>
      <w:lvlText w:val="%1."/>
      <w:lvlJc w:val="left"/>
      <w:pPr>
        <w:ind w:left="846" w:hanging="420"/>
      </w:pPr>
      <w:rPr>
        <w:rFonts w:hint="eastAsia"/>
        <w:sz w:val="24"/>
        <w:szCs w:val="24"/>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6D9002E9"/>
    <w:multiLevelType w:val="multilevel"/>
    <w:tmpl w:val="6D9002E9"/>
    <w:lvl w:ilvl="0" w:tentative="0">
      <w:start w:val="1"/>
      <w:numFmt w:val="decimal"/>
      <w:lvlText w:val="%1."/>
      <w:lvlJc w:val="left"/>
      <w:pPr>
        <w:ind w:left="420" w:hanging="420"/>
      </w:pPr>
      <w:rPr>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U3MjAzOGI1ZWM1NjI3YTE0MjIzZDIwNTMwM2NhZjEifQ=="/>
  </w:docVars>
  <w:rsids>
    <w:rsidRoot w:val="00BA0C1A"/>
    <w:rsid w:val="00016BC1"/>
    <w:rsid w:val="00026FCA"/>
    <w:rsid w:val="00040685"/>
    <w:rsid w:val="000666FB"/>
    <w:rsid w:val="00070E09"/>
    <w:rsid w:val="00083C26"/>
    <w:rsid w:val="000A55D6"/>
    <w:rsid w:val="000C51B7"/>
    <w:rsid w:val="000F0021"/>
    <w:rsid w:val="000F3BF6"/>
    <w:rsid w:val="001162F7"/>
    <w:rsid w:val="00146C9E"/>
    <w:rsid w:val="0017361C"/>
    <w:rsid w:val="00184937"/>
    <w:rsid w:val="00194ECE"/>
    <w:rsid w:val="001D5B36"/>
    <w:rsid w:val="00216EB9"/>
    <w:rsid w:val="002229D1"/>
    <w:rsid w:val="002376AA"/>
    <w:rsid w:val="002C6FC4"/>
    <w:rsid w:val="002E61FD"/>
    <w:rsid w:val="002E6EF7"/>
    <w:rsid w:val="002F34D0"/>
    <w:rsid w:val="002F7EEF"/>
    <w:rsid w:val="003A080C"/>
    <w:rsid w:val="003D47BC"/>
    <w:rsid w:val="00415571"/>
    <w:rsid w:val="004209A5"/>
    <w:rsid w:val="00434FF5"/>
    <w:rsid w:val="00475DE0"/>
    <w:rsid w:val="0048642C"/>
    <w:rsid w:val="0048650E"/>
    <w:rsid w:val="00493B83"/>
    <w:rsid w:val="004A039D"/>
    <w:rsid w:val="004F417C"/>
    <w:rsid w:val="00501DD6"/>
    <w:rsid w:val="0053513F"/>
    <w:rsid w:val="0059531B"/>
    <w:rsid w:val="00595CAC"/>
    <w:rsid w:val="005C3B4E"/>
    <w:rsid w:val="005E0FBD"/>
    <w:rsid w:val="005F543A"/>
    <w:rsid w:val="00616505"/>
    <w:rsid w:val="006173B3"/>
    <w:rsid w:val="0062213C"/>
    <w:rsid w:val="00623974"/>
    <w:rsid w:val="00625AC0"/>
    <w:rsid w:val="00633F40"/>
    <w:rsid w:val="00643232"/>
    <w:rsid w:val="006523A3"/>
    <w:rsid w:val="006549AD"/>
    <w:rsid w:val="00684D9C"/>
    <w:rsid w:val="00696E32"/>
    <w:rsid w:val="006B2546"/>
    <w:rsid w:val="007658CE"/>
    <w:rsid w:val="00780672"/>
    <w:rsid w:val="00786F5D"/>
    <w:rsid w:val="007A6BEA"/>
    <w:rsid w:val="0085520F"/>
    <w:rsid w:val="00861E1E"/>
    <w:rsid w:val="008919B9"/>
    <w:rsid w:val="008A34AC"/>
    <w:rsid w:val="008D52CB"/>
    <w:rsid w:val="00923AF6"/>
    <w:rsid w:val="00947F86"/>
    <w:rsid w:val="00951BD1"/>
    <w:rsid w:val="00996F12"/>
    <w:rsid w:val="00997072"/>
    <w:rsid w:val="009C22B5"/>
    <w:rsid w:val="009D26E3"/>
    <w:rsid w:val="009D4FA9"/>
    <w:rsid w:val="009F00A8"/>
    <w:rsid w:val="00A0305C"/>
    <w:rsid w:val="00A060C7"/>
    <w:rsid w:val="00A13890"/>
    <w:rsid w:val="00A31C6B"/>
    <w:rsid w:val="00A56764"/>
    <w:rsid w:val="00A60633"/>
    <w:rsid w:val="00A62F32"/>
    <w:rsid w:val="00AC0FA2"/>
    <w:rsid w:val="00AC30DC"/>
    <w:rsid w:val="00B52A88"/>
    <w:rsid w:val="00B55FD8"/>
    <w:rsid w:val="00B63CAE"/>
    <w:rsid w:val="00B64717"/>
    <w:rsid w:val="00BA0C1A"/>
    <w:rsid w:val="00BD5CBD"/>
    <w:rsid w:val="00C061CB"/>
    <w:rsid w:val="00C10A62"/>
    <w:rsid w:val="00C604EC"/>
    <w:rsid w:val="00CA2C27"/>
    <w:rsid w:val="00CD1186"/>
    <w:rsid w:val="00CD6E4A"/>
    <w:rsid w:val="00D20FB4"/>
    <w:rsid w:val="00D75F37"/>
    <w:rsid w:val="00D855F0"/>
    <w:rsid w:val="00D94379"/>
    <w:rsid w:val="00E26251"/>
    <w:rsid w:val="00E66C6F"/>
    <w:rsid w:val="00EA1EE8"/>
    <w:rsid w:val="00EB4E0C"/>
    <w:rsid w:val="00ED620F"/>
    <w:rsid w:val="00F109AC"/>
    <w:rsid w:val="00F2009B"/>
    <w:rsid w:val="00F2490D"/>
    <w:rsid w:val="00F35FC1"/>
    <w:rsid w:val="00F53662"/>
    <w:rsid w:val="00F67314"/>
    <w:rsid w:val="01042746"/>
    <w:rsid w:val="03CD19EB"/>
    <w:rsid w:val="07294324"/>
    <w:rsid w:val="083D07F0"/>
    <w:rsid w:val="09140765"/>
    <w:rsid w:val="0C964EF5"/>
    <w:rsid w:val="0C974272"/>
    <w:rsid w:val="0DCE5387"/>
    <w:rsid w:val="0EF27AFF"/>
    <w:rsid w:val="0FD91012"/>
    <w:rsid w:val="105E3B74"/>
    <w:rsid w:val="1150408E"/>
    <w:rsid w:val="129A3FDB"/>
    <w:rsid w:val="15D71590"/>
    <w:rsid w:val="17E80148"/>
    <w:rsid w:val="1877253D"/>
    <w:rsid w:val="18A91F3D"/>
    <w:rsid w:val="19F010A4"/>
    <w:rsid w:val="1AAB4F5D"/>
    <w:rsid w:val="1ABC2061"/>
    <w:rsid w:val="1C2C4424"/>
    <w:rsid w:val="1C7B314B"/>
    <w:rsid w:val="1CD54CE6"/>
    <w:rsid w:val="1DEC38DC"/>
    <w:rsid w:val="21E77A8E"/>
    <w:rsid w:val="257E506E"/>
    <w:rsid w:val="29D5673A"/>
    <w:rsid w:val="2BFC683D"/>
    <w:rsid w:val="2C345D4C"/>
    <w:rsid w:val="2D0C28EF"/>
    <w:rsid w:val="2D7B43C4"/>
    <w:rsid w:val="2E3A67E2"/>
    <w:rsid w:val="30456175"/>
    <w:rsid w:val="31846771"/>
    <w:rsid w:val="31AE0969"/>
    <w:rsid w:val="333111C4"/>
    <w:rsid w:val="3396396B"/>
    <w:rsid w:val="342D0AEE"/>
    <w:rsid w:val="35863254"/>
    <w:rsid w:val="36772279"/>
    <w:rsid w:val="39001BF5"/>
    <w:rsid w:val="39B6604A"/>
    <w:rsid w:val="3AC10863"/>
    <w:rsid w:val="3ADF74EF"/>
    <w:rsid w:val="3B1E1FC9"/>
    <w:rsid w:val="3B673F1D"/>
    <w:rsid w:val="3F2B4DE2"/>
    <w:rsid w:val="40A8728A"/>
    <w:rsid w:val="417C1022"/>
    <w:rsid w:val="41B85246"/>
    <w:rsid w:val="423910B1"/>
    <w:rsid w:val="4261303A"/>
    <w:rsid w:val="42734BF2"/>
    <w:rsid w:val="434067C1"/>
    <w:rsid w:val="44D53CA9"/>
    <w:rsid w:val="44EA7090"/>
    <w:rsid w:val="461A0B08"/>
    <w:rsid w:val="47803297"/>
    <w:rsid w:val="4AB40821"/>
    <w:rsid w:val="4B0710A5"/>
    <w:rsid w:val="4B5057D8"/>
    <w:rsid w:val="4B9E4347"/>
    <w:rsid w:val="4C1E58B7"/>
    <w:rsid w:val="4E9223B1"/>
    <w:rsid w:val="54100127"/>
    <w:rsid w:val="56704E9D"/>
    <w:rsid w:val="568D20C3"/>
    <w:rsid w:val="56EF31A3"/>
    <w:rsid w:val="58DB3394"/>
    <w:rsid w:val="59330D43"/>
    <w:rsid w:val="5DB457E2"/>
    <w:rsid w:val="5EBD3CCB"/>
    <w:rsid w:val="628F40DF"/>
    <w:rsid w:val="64AB3DB9"/>
    <w:rsid w:val="675D79E8"/>
    <w:rsid w:val="67E47932"/>
    <w:rsid w:val="684F71DF"/>
    <w:rsid w:val="69F76286"/>
    <w:rsid w:val="6CC443B0"/>
    <w:rsid w:val="6EAF13B0"/>
    <w:rsid w:val="70E8383E"/>
    <w:rsid w:val="71061E72"/>
    <w:rsid w:val="7189255F"/>
    <w:rsid w:val="72CC7C5F"/>
    <w:rsid w:val="72E6483E"/>
    <w:rsid w:val="741E0166"/>
    <w:rsid w:val="745B61E5"/>
    <w:rsid w:val="74920F9A"/>
    <w:rsid w:val="77396ADA"/>
    <w:rsid w:val="778B1DFE"/>
    <w:rsid w:val="78AF4ABA"/>
    <w:rsid w:val="792B7540"/>
    <w:rsid w:val="798A08D0"/>
    <w:rsid w:val="7A3B2499"/>
    <w:rsid w:val="7BA95C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3"/>
    <w:unhideWhenUsed/>
    <w:qFormat/>
    <w:uiPriority w:val="99"/>
    <w:pPr>
      <w:tabs>
        <w:tab w:val="center" w:pos="4153"/>
        <w:tab w:val="right" w:pos="8306"/>
      </w:tabs>
      <w:snapToGrid w:val="0"/>
      <w:jc w:val="left"/>
    </w:pPr>
    <w:rPr>
      <w:sz w:val="18"/>
      <w:szCs w:val="18"/>
    </w:rPr>
  </w:style>
  <w:style w:type="paragraph" w:styleId="3">
    <w:name w:val="header"/>
    <w:basedOn w:val="1"/>
    <w:link w:val="12"/>
    <w:unhideWhenUsed/>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0"/>
    <w:pPr>
      <w:spacing w:beforeAutospacing="1" w:afterAutospacing="1"/>
      <w:jc w:val="left"/>
    </w:pPr>
    <w:rPr>
      <w:rFonts w:cs="Times New Roman"/>
      <w:kern w:val="0"/>
      <w:sz w:val="24"/>
    </w:rPr>
  </w:style>
  <w:style w:type="paragraph" w:styleId="5">
    <w:name w:val="Title"/>
    <w:basedOn w:val="1"/>
    <w:next w:val="1"/>
    <w:qFormat/>
    <w:uiPriority w:val="10"/>
    <w:pPr>
      <w:spacing w:line="480" w:lineRule="auto"/>
      <w:jc w:val="center"/>
      <w:outlineLvl w:val="0"/>
    </w:pPr>
    <w:rPr>
      <w:rFonts w:asciiTheme="majorHAnsi" w:hAnsiTheme="majorHAnsi" w:eastAsiaTheme="majorEastAsia" w:cstheme="majorBidi"/>
      <w:b/>
      <w:bCs/>
      <w:sz w:val="48"/>
      <w:szCs w:val="32"/>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22"/>
    <w:rPr>
      <w:b/>
    </w:rPr>
  </w:style>
  <w:style w:type="character" w:styleId="10">
    <w:name w:val="page number"/>
    <w:basedOn w:val="8"/>
    <w:qFormat/>
    <w:uiPriority w:val="0"/>
  </w:style>
  <w:style w:type="character" w:styleId="11">
    <w:name w:val="Hyperlink"/>
    <w:basedOn w:val="8"/>
    <w:unhideWhenUsed/>
    <w:qFormat/>
    <w:uiPriority w:val="99"/>
    <w:rPr>
      <w:color w:val="0000FF" w:themeColor="hyperlink"/>
      <w:u w:val="single"/>
      <w14:textFill>
        <w14:solidFill>
          <w14:schemeClr w14:val="hlink"/>
        </w14:solidFill>
      </w14:textFill>
    </w:rPr>
  </w:style>
  <w:style w:type="character" w:customStyle="1" w:styleId="12">
    <w:name w:val="页眉 字符"/>
    <w:basedOn w:val="8"/>
    <w:link w:val="3"/>
    <w:qFormat/>
    <w:uiPriority w:val="0"/>
    <w:rPr>
      <w:sz w:val="18"/>
      <w:szCs w:val="18"/>
    </w:rPr>
  </w:style>
  <w:style w:type="character" w:customStyle="1" w:styleId="13">
    <w:name w:val="页脚 字符"/>
    <w:basedOn w:val="8"/>
    <w:link w:val="2"/>
    <w:qFormat/>
    <w:uiPriority w:val="99"/>
    <w:rPr>
      <w:sz w:val="18"/>
      <w:szCs w:val="18"/>
    </w:rPr>
  </w:style>
  <w:style w:type="paragraph" w:styleId="14">
    <w:name w:val="List Paragraph"/>
    <w:basedOn w:val="1"/>
    <w:qFormat/>
    <w:uiPriority w:val="34"/>
    <w:pPr>
      <w:ind w:firstLine="420" w:firstLineChars="200"/>
    </w:pPr>
  </w:style>
  <w:style w:type="character" w:customStyle="1" w:styleId="15">
    <w:name w:val="Unresolved Mention"/>
    <w:basedOn w:val="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r="http://schemas.openxmlformats.org/officeDocument/2006/relationships" xmlns:w="http://schemas.openxmlformats.org/wordprocessingml/2006/main" xmlns:w15="http://schemas.microsoft.com/office/word/2012/wordml"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mc="http://schemas.openxmlformats.org/markup-compatibility/2006" xmlns:ns10="http://schemas.openxmlformats.org/schemaLibrary/2006/main" xmlns:wne="http://schemas.microsoft.com/office/word/2006/wordml" xmlns:c="http://schemas.openxmlformats.org/drawingml/2006/chart" xmlns:ns13="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20="urn:schemas-microsoft-com:office:excel" xmlns:w10="urn:schemas-microsoft-com:office:word" xmlns:ns22="urn:schemas-microsoft-com:office:powerpoint" xmlns:ns24="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etp="http://schemas.microsoft.com/office/webextensions/taskpanes/2010/11" xmlns:we="http://schemas.microsoft.com/office/webextensions/webextension/2010/11" xmlns:ns34="http://schemas.openxmlformats.org/drawingml/2006/compatibility" xmlns:ns35="http://schemas.openxmlformats.org/drawingml/2006/lockedCanvas" SelectedStyle="\APASixthEditionOfficeOnline.xsl" StyleName="APA"/>
</file>

<file path=customXml/itemProps1.xml><?xml version="1.0" encoding="utf-8"?>
<ds:datastoreItem xmlns:ds="http://schemas.openxmlformats.org/officeDocument/2006/customXml" ds:itemID="{519BC990-40FD-42B6-B8DA-69B41A76D25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2112</Words>
  <Characters>2202</Characters>
  <Lines>15</Lines>
  <Paragraphs>4</Paragraphs>
  <TotalTime>253</TotalTime>
  <ScaleCrop>false</ScaleCrop>
  <LinksUpToDate>false</LinksUpToDate>
  <CharactersWithSpaces>2204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2024-10-12T08:46:00Z</dcterms:created>
  <dc:creator>Tencent</dc:creator>
  <cp:lastModifiedBy>admin</cp:lastModifiedBy>
  <cp:lastPrinted>2021-09-30T01:22:00Z</cp:lastPrinted>
  <dcterms:modified xsi:type="dcterms:W3CDTF">2026-09-30T11:42:35Z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F87FF537EE1D4E9D81E5E8FB2BB19CB1_13</vt:lpwstr>
  </property>
</Properties>
</file>